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02ABCB" w14:textId="77777777" w:rsidR="000941A5" w:rsidRDefault="000941A5" w:rsidP="00FC49F0">
      <w:pPr>
        <w:pStyle w:val="Sansinterligne"/>
      </w:pPr>
    </w:p>
    <w:p w14:paraId="59855D3E" w14:textId="77777777" w:rsidR="00694746" w:rsidRDefault="00694746" w:rsidP="00FC49F0">
      <w:pPr>
        <w:pStyle w:val="Sansinterligne"/>
      </w:pPr>
    </w:p>
    <w:p w14:paraId="6C56ECD6" w14:textId="77777777" w:rsidR="00FC49F0" w:rsidRDefault="00FC49F0" w:rsidP="00FC49F0">
      <w:pPr>
        <w:pStyle w:val="Sansinterligne"/>
      </w:pPr>
    </w:p>
    <w:p w14:paraId="5DC8BB5C" w14:textId="77777777" w:rsidR="00FC49F0" w:rsidRDefault="00FC49F0" w:rsidP="00FC49F0">
      <w:pPr>
        <w:pStyle w:val="Sansinterligne"/>
      </w:pPr>
    </w:p>
    <w:tbl>
      <w:tblPr>
        <w:tblStyle w:val="Grilledutableau"/>
        <w:tblW w:w="0" w:type="auto"/>
        <w:tblBorders>
          <w:top w:val="single" w:sz="12" w:space="0" w:color="AE2573"/>
          <w:left w:val="single" w:sz="12" w:space="0" w:color="AE2573"/>
          <w:bottom w:val="single" w:sz="12" w:space="0" w:color="AE2573"/>
          <w:right w:val="single" w:sz="12" w:space="0" w:color="AE2573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F34EFD" w:rsidRPr="00AB67BE" w14:paraId="5ECD0914" w14:textId="77777777" w:rsidTr="00B42D62">
        <w:trPr>
          <w:trHeight w:val="862"/>
        </w:trPr>
        <w:tc>
          <w:tcPr>
            <w:tcW w:w="9062" w:type="dxa"/>
            <w:tcBorders>
              <w:top w:val="single" w:sz="12" w:space="0" w:color="5862ED"/>
              <w:left w:val="single" w:sz="12" w:space="0" w:color="5862ED"/>
              <w:bottom w:val="single" w:sz="12" w:space="0" w:color="5862ED"/>
              <w:right w:val="single" w:sz="12" w:space="0" w:color="5862ED"/>
            </w:tcBorders>
            <w:vAlign w:val="center"/>
          </w:tcPr>
          <w:p w14:paraId="78C8AEBB" w14:textId="4B902A25" w:rsidR="00964B07" w:rsidRPr="00D03AFF" w:rsidRDefault="008161FE" w:rsidP="00964B07">
            <w:pPr>
              <w:jc w:val="center"/>
              <w:rPr>
                <w:rFonts w:ascii="Marianne" w:hAnsi="Marianne"/>
                <w:b/>
                <w:color w:val="5862ED"/>
                <w:sz w:val="24"/>
                <w:szCs w:val="24"/>
                <w:u w:val="single"/>
              </w:rPr>
            </w:pPr>
            <w:r w:rsidRPr="00D03AFF">
              <w:rPr>
                <w:rFonts w:ascii="Marianne" w:hAnsi="Marianne"/>
                <w:b/>
                <w:color w:val="5862ED"/>
                <w:sz w:val="24"/>
                <w:szCs w:val="24"/>
                <w:u w:val="single"/>
              </w:rPr>
              <w:t xml:space="preserve">Marché </w:t>
            </w:r>
            <w:r w:rsidR="00D03AFF" w:rsidRPr="00D03AFF">
              <w:rPr>
                <w:rFonts w:ascii="Marianne" w:hAnsi="Marianne"/>
                <w:b/>
                <w:color w:val="5862ED"/>
                <w:sz w:val="24"/>
                <w:szCs w:val="24"/>
                <w:u w:val="single"/>
              </w:rPr>
              <w:t>TIBIOGEN261</w:t>
            </w:r>
          </w:p>
          <w:p w14:paraId="45E434DE" w14:textId="5CE4CBDD" w:rsidR="00F34EFD" w:rsidRPr="00AB67BE" w:rsidRDefault="00D03AFF" w:rsidP="004D5AA1">
            <w:pPr>
              <w:jc w:val="center"/>
              <w:rPr>
                <w:rFonts w:ascii="Marianne" w:hAnsi="Marianne"/>
                <w:b/>
                <w:color w:val="AE2573"/>
                <w:sz w:val="24"/>
                <w:szCs w:val="24"/>
              </w:rPr>
            </w:pPr>
            <w:r w:rsidRPr="00D03AFF">
              <w:rPr>
                <w:rFonts w:ascii="Marianne" w:hAnsi="Marianne"/>
                <w:b/>
                <w:color w:val="5862ED"/>
                <w:sz w:val="24"/>
                <w:szCs w:val="24"/>
              </w:rPr>
              <w:t xml:space="preserve">Acquisition d’un four à induction sous vide avec un système de coulée pour le projet de recherche TIBIOGEN porté par la </w:t>
            </w:r>
            <w:r>
              <w:rPr>
                <w:rFonts w:ascii="Marianne" w:hAnsi="Marianne"/>
                <w:b/>
                <w:color w:val="5862ED"/>
                <w:sz w:val="24"/>
                <w:szCs w:val="24"/>
              </w:rPr>
              <w:t>F</w:t>
            </w:r>
            <w:r w:rsidRPr="00D03AFF">
              <w:rPr>
                <w:rFonts w:ascii="Marianne" w:hAnsi="Marianne"/>
                <w:b/>
                <w:color w:val="5862ED"/>
                <w:sz w:val="24"/>
                <w:szCs w:val="24"/>
              </w:rPr>
              <w:t xml:space="preserve">aculté des </w:t>
            </w:r>
            <w:r>
              <w:rPr>
                <w:rFonts w:ascii="Marianne" w:hAnsi="Marianne"/>
                <w:b/>
                <w:color w:val="5862ED"/>
                <w:sz w:val="24"/>
                <w:szCs w:val="24"/>
              </w:rPr>
              <w:t>S</w:t>
            </w:r>
            <w:r w:rsidRPr="00D03AFF">
              <w:rPr>
                <w:rFonts w:ascii="Marianne" w:hAnsi="Marianne"/>
                <w:b/>
                <w:color w:val="5862ED"/>
                <w:sz w:val="24"/>
                <w:szCs w:val="24"/>
              </w:rPr>
              <w:t xml:space="preserve">ciences et </w:t>
            </w:r>
            <w:r>
              <w:rPr>
                <w:rFonts w:ascii="Marianne" w:hAnsi="Marianne"/>
                <w:b/>
                <w:color w:val="5862ED"/>
                <w:sz w:val="24"/>
                <w:szCs w:val="24"/>
              </w:rPr>
              <w:t>T</w:t>
            </w:r>
            <w:r w:rsidRPr="00D03AFF">
              <w:rPr>
                <w:rFonts w:ascii="Marianne" w:hAnsi="Marianne"/>
                <w:b/>
                <w:color w:val="5862ED"/>
                <w:sz w:val="24"/>
                <w:szCs w:val="24"/>
              </w:rPr>
              <w:t>echnologies</w:t>
            </w:r>
            <w:r>
              <w:rPr>
                <w:rFonts w:ascii="Marianne" w:hAnsi="Marianne"/>
                <w:b/>
                <w:color w:val="5862ED"/>
                <w:sz w:val="24"/>
                <w:szCs w:val="24"/>
              </w:rPr>
              <w:t xml:space="preserve"> (FST)</w:t>
            </w:r>
            <w:r w:rsidRPr="00D03AFF">
              <w:rPr>
                <w:rFonts w:ascii="Marianne" w:hAnsi="Marianne"/>
                <w:b/>
                <w:color w:val="5862ED"/>
                <w:sz w:val="24"/>
                <w:szCs w:val="24"/>
              </w:rPr>
              <w:t xml:space="preserve"> de l’Université de Lille pour le FEDER</w:t>
            </w:r>
            <w:r w:rsidR="000D5313">
              <w:rPr>
                <w:rFonts w:ascii="Marianne" w:hAnsi="Marianne"/>
                <w:b/>
                <w:color w:val="5862ED"/>
                <w:sz w:val="24"/>
                <w:szCs w:val="24"/>
              </w:rPr>
              <w:t xml:space="preserve"> </w:t>
            </w:r>
            <w:r w:rsidRPr="00D03AFF">
              <w:rPr>
                <w:rFonts w:ascii="Marianne" w:hAnsi="Marianne"/>
                <w:b/>
                <w:color w:val="5862ED"/>
                <w:sz w:val="24"/>
                <w:szCs w:val="24"/>
              </w:rPr>
              <w:t>2026</w:t>
            </w:r>
          </w:p>
        </w:tc>
      </w:tr>
    </w:tbl>
    <w:p w14:paraId="7AE23BB3" w14:textId="77777777" w:rsidR="00694746" w:rsidRPr="00AB67BE" w:rsidRDefault="00694746" w:rsidP="0051219D">
      <w:pPr>
        <w:rPr>
          <w:rFonts w:ascii="Marianne" w:hAnsi="Marianne"/>
          <w:b/>
          <w:sz w:val="24"/>
          <w:szCs w:val="24"/>
        </w:rPr>
      </w:pPr>
    </w:p>
    <w:p w14:paraId="54193065" w14:textId="77777777" w:rsidR="00694746" w:rsidRPr="00AB67BE" w:rsidRDefault="00694746" w:rsidP="00694746">
      <w:pPr>
        <w:jc w:val="center"/>
        <w:rPr>
          <w:rFonts w:ascii="Marianne" w:hAnsi="Marianne"/>
          <w:b/>
          <w:sz w:val="24"/>
          <w:szCs w:val="24"/>
        </w:rPr>
      </w:pPr>
      <w:r w:rsidRPr="00AB67BE">
        <w:rPr>
          <w:rFonts w:ascii="Marianne" w:hAnsi="Marianne"/>
          <w:b/>
          <w:sz w:val="24"/>
          <w:szCs w:val="24"/>
        </w:rPr>
        <w:t>DOSSIER DE CONSULTATION AUX ENTREPRISES</w:t>
      </w:r>
    </w:p>
    <w:p w14:paraId="656281F5" w14:textId="77777777" w:rsidR="00694746" w:rsidRPr="00AB67BE" w:rsidRDefault="00B7245B" w:rsidP="00694746">
      <w:pPr>
        <w:jc w:val="center"/>
        <w:rPr>
          <w:rFonts w:ascii="Marianne" w:hAnsi="Marianne"/>
          <w:b/>
          <w:sz w:val="24"/>
          <w:szCs w:val="24"/>
        </w:rPr>
      </w:pPr>
      <w:r w:rsidRPr="00AB67BE">
        <w:rPr>
          <w:rFonts w:ascii="Marianne" w:hAnsi="Marianne"/>
          <w:b/>
          <w:sz w:val="24"/>
          <w:szCs w:val="24"/>
        </w:rPr>
        <w:t>(</w:t>
      </w:r>
      <w:r w:rsidR="00694746" w:rsidRPr="00AB67BE">
        <w:rPr>
          <w:rFonts w:ascii="Marianne" w:hAnsi="Marianne"/>
          <w:b/>
          <w:sz w:val="24"/>
          <w:szCs w:val="24"/>
        </w:rPr>
        <w:t>DCE</w:t>
      </w:r>
      <w:r w:rsidRPr="00AB67BE">
        <w:rPr>
          <w:rFonts w:ascii="Marianne" w:hAnsi="Marianne"/>
          <w:b/>
          <w:sz w:val="24"/>
          <w:szCs w:val="24"/>
        </w:rPr>
        <w:t>)</w:t>
      </w:r>
    </w:p>
    <w:p w14:paraId="0F208A18" w14:textId="77777777" w:rsidR="00694746" w:rsidRPr="00AB67BE" w:rsidRDefault="00694746" w:rsidP="00694746">
      <w:pPr>
        <w:jc w:val="center"/>
        <w:rPr>
          <w:rFonts w:ascii="Marianne" w:hAnsi="Marianne"/>
          <w:b/>
          <w:sz w:val="40"/>
        </w:rPr>
      </w:pPr>
    </w:p>
    <w:p w14:paraId="6E5E7862" w14:textId="77777777" w:rsidR="00694746" w:rsidRPr="00AB67BE" w:rsidRDefault="00F34EFD" w:rsidP="00694746">
      <w:pPr>
        <w:jc w:val="center"/>
        <w:rPr>
          <w:rFonts w:ascii="Marianne" w:hAnsi="Marianne"/>
        </w:rPr>
      </w:pPr>
      <w:r w:rsidRPr="00AB67BE">
        <w:rPr>
          <w:rFonts w:ascii="Marianne" w:hAnsi="Marianne"/>
          <w:u w:val="single"/>
        </w:rPr>
        <w:t>Constitué de</w:t>
      </w:r>
      <w:r w:rsidRPr="00AB67BE">
        <w:rPr>
          <w:rFonts w:ascii="Marianne" w:hAnsi="Marianne"/>
        </w:rPr>
        <w:t> :</w:t>
      </w:r>
    </w:p>
    <w:p w14:paraId="393D3440" w14:textId="77777777" w:rsidR="00F34EFD" w:rsidRPr="00AB67BE" w:rsidRDefault="00F34EFD" w:rsidP="00694746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Règlement de consultation (RC)</w:t>
      </w:r>
    </w:p>
    <w:p w14:paraId="7C0A3D69" w14:textId="77777777" w:rsidR="00520177" w:rsidRPr="00520177" w:rsidRDefault="00520177" w:rsidP="00520177">
      <w:pPr>
        <w:jc w:val="center"/>
        <w:rPr>
          <w:rFonts w:ascii="Marianne" w:hAnsi="Marianne"/>
        </w:rPr>
      </w:pPr>
      <w:r w:rsidRPr="00520177">
        <w:rPr>
          <w:rFonts w:ascii="Marianne" w:hAnsi="Marianne"/>
        </w:rPr>
        <w:t xml:space="preserve">Cahier des Clauses Administratives Particulières (CCAP) </w:t>
      </w:r>
    </w:p>
    <w:p w14:paraId="2FE2CDE5" w14:textId="77777777" w:rsidR="00520177" w:rsidRDefault="00520177" w:rsidP="00520177">
      <w:pPr>
        <w:jc w:val="center"/>
        <w:rPr>
          <w:rFonts w:ascii="Marianne" w:hAnsi="Marianne"/>
        </w:rPr>
      </w:pPr>
      <w:r w:rsidRPr="00520177">
        <w:rPr>
          <w:rFonts w:ascii="Marianne" w:hAnsi="Marianne"/>
        </w:rPr>
        <w:t xml:space="preserve">Cahier des Clauses Techniques Particulières (CCTP) </w:t>
      </w:r>
    </w:p>
    <w:p w14:paraId="2B01A1A2" w14:textId="77777777" w:rsidR="00101E8B" w:rsidRPr="00AB67BE" w:rsidRDefault="00A8688F" w:rsidP="00520177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 xml:space="preserve">ATTRI </w:t>
      </w:r>
      <w:r w:rsidRPr="00D03AFF">
        <w:rPr>
          <w:rFonts w:ascii="Marianne" w:hAnsi="Marianne"/>
        </w:rPr>
        <w:t xml:space="preserve">1 et </w:t>
      </w:r>
      <w:r w:rsidR="00CA3308" w:rsidRPr="00D03AFF">
        <w:rPr>
          <w:rFonts w:ascii="Marianne" w:hAnsi="Marianne"/>
        </w:rPr>
        <w:t>s</w:t>
      </w:r>
      <w:r w:rsidR="000431DE" w:rsidRPr="00D03AFF">
        <w:rPr>
          <w:rFonts w:ascii="Marianne" w:hAnsi="Marianne"/>
        </w:rPr>
        <w:t>on</w:t>
      </w:r>
      <w:r w:rsidR="004C7069" w:rsidRPr="00D03AFF">
        <w:rPr>
          <w:rFonts w:ascii="Marianne" w:hAnsi="Marianne"/>
        </w:rPr>
        <w:t xml:space="preserve"> </w:t>
      </w:r>
      <w:r w:rsidRPr="00D03AFF">
        <w:rPr>
          <w:rFonts w:ascii="Marianne" w:hAnsi="Marianne"/>
        </w:rPr>
        <w:t>annexe</w:t>
      </w:r>
    </w:p>
    <w:p w14:paraId="78A29CB7" w14:textId="77777777" w:rsidR="00101E8B" w:rsidRPr="00AB67BE" w:rsidRDefault="00101E8B" w:rsidP="00694746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Fiche de renseignements</w:t>
      </w:r>
    </w:p>
    <w:p w14:paraId="116302A8" w14:textId="77777777" w:rsidR="00C42E15" w:rsidRPr="00AB67BE" w:rsidRDefault="00F34EFD" w:rsidP="00C42E15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Formulaire DC1</w:t>
      </w:r>
    </w:p>
    <w:p w14:paraId="1E69A958" w14:textId="77777777" w:rsidR="00974DCA" w:rsidRDefault="00974DCA" w:rsidP="00974DCA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Modèle de déclaration sur l’honneur</w:t>
      </w:r>
    </w:p>
    <w:p w14:paraId="5692654A" w14:textId="77777777" w:rsidR="00F47001" w:rsidRPr="00AB67BE" w:rsidRDefault="00F47001" w:rsidP="00974DCA">
      <w:pPr>
        <w:jc w:val="center"/>
        <w:rPr>
          <w:rFonts w:ascii="Marianne" w:hAnsi="Marianne"/>
        </w:rPr>
      </w:pPr>
      <w:r>
        <w:rPr>
          <w:rFonts w:ascii="Marianne" w:hAnsi="Marianne"/>
        </w:rPr>
        <w:t>Attestation sur l’honneur Sanctions Russes</w:t>
      </w:r>
    </w:p>
    <w:p w14:paraId="4944BD4C" w14:textId="77777777" w:rsidR="00F34EFD" w:rsidRPr="00AB67BE" w:rsidRDefault="00F34EFD" w:rsidP="00694746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Formulaire DC2</w:t>
      </w:r>
    </w:p>
    <w:p w14:paraId="6D1ED849" w14:textId="77777777" w:rsidR="00694746" w:rsidRPr="00AB67BE" w:rsidRDefault="003B70F9" w:rsidP="00881E2E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Annexe DC2</w:t>
      </w:r>
    </w:p>
    <w:p w14:paraId="535C53E4" w14:textId="77777777" w:rsidR="00974DCA" w:rsidRPr="00AB67BE" w:rsidRDefault="00974DCA" w:rsidP="00881E2E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Fiche de création fournisseur</w:t>
      </w:r>
    </w:p>
    <w:p w14:paraId="180B36E9" w14:textId="77777777" w:rsidR="00974DCA" w:rsidRPr="00AB67BE" w:rsidRDefault="00974DCA" w:rsidP="00974DCA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CCAG Fournitures et Services Courantes</w:t>
      </w:r>
    </w:p>
    <w:p w14:paraId="01463D66" w14:textId="77777777" w:rsidR="00694746" w:rsidRPr="00AB67BE" w:rsidRDefault="00C47A3D" w:rsidP="00694746">
      <w:pPr>
        <w:jc w:val="center"/>
        <w:rPr>
          <w:rFonts w:ascii="Marianne" w:hAnsi="Marianne"/>
        </w:rPr>
      </w:pPr>
      <w:r w:rsidRPr="00AB67BE">
        <w:rPr>
          <w:rFonts w:ascii="Marianne" w:hAnsi="Marianne"/>
        </w:rPr>
        <w:t>Guide de la dématérialisation des marchés publics pour les opérateurs économiques</w:t>
      </w:r>
    </w:p>
    <w:p w14:paraId="7EAE20BB" w14:textId="77777777" w:rsidR="00C47A3D" w:rsidRPr="00AB67BE" w:rsidRDefault="00C47A3D" w:rsidP="00694746">
      <w:pPr>
        <w:jc w:val="center"/>
        <w:rPr>
          <w:rFonts w:ascii="Marianne" w:hAnsi="Marianne"/>
          <w:sz w:val="24"/>
          <w:szCs w:val="24"/>
        </w:rPr>
      </w:pPr>
    </w:p>
    <w:p w14:paraId="792AAC5A" w14:textId="77777777" w:rsidR="00694746" w:rsidRPr="00AB67BE" w:rsidRDefault="00694746" w:rsidP="00101E8B">
      <w:pPr>
        <w:rPr>
          <w:rFonts w:ascii="Marianne" w:hAnsi="Marianne"/>
          <w:b/>
          <w:sz w:val="40"/>
        </w:rPr>
      </w:pPr>
    </w:p>
    <w:sectPr w:rsidR="00694746" w:rsidRPr="00AB67B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1F7191" w14:textId="77777777" w:rsidR="00F10D6B" w:rsidRDefault="00F10D6B" w:rsidP="009D0324">
      <w:pPr>
        <w:spacing w:after="0" w:line="240" w:lineRule="auto"/>
      </w:pPr>
      <w:r>
        <w:separator/>
      </w:r>
    </w:p>
  </w:endnote>
  <w:endnote w:type="continuationSeparator" w:id="0">
    <w:p w14:paraId="51842A2B" w14:textId="77777777" w:rsidR="00F10D6B" w:rsidRDefault="00F10D6B" w:rsidP="009D03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7A1BF4" w14:textId="77777777" w:rsidR="008069E1" w:rsidRDefault="008069E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B93D12" w14:textId="2AB04DC1" w:rsidR="009D0324" w:rsidRPr="000941A5" w:rsidRDefault="00D03AFF" w:rsidP="009D0324">
    <w:pPr>
      <w:pStyle w:val="Pieddepage"/>
      <w:rPr>
        <w:rFonts w:ascii="Marianne" w:hAnsi="Marianne"/>
        <w:sz w:val="18"/>
        <w:szCs w:val="18"/>
      </w:rPr>
    </w:pPr>
    <w:r w:rsidRPr="000941A5">
      <w:rPr>
        <w:rFonts w:ascii="Marianne" w:hAnsi="Marianne"/>
        <w:sz w:val="18"/>
        <w:szCs w:val="18"/>
      </w:rPr>
      <w:t>TIBIOGEN261</w:t>
    </w:r>
    <w:r w:rsidR="009D0324" w:rsidRPr="000941A5">
      <w:rPr>
        <w:rFonts w:ascii="Marianne" w:hAnsi="Marianne"/>
        <w:sz w:val="18"/>
        <w:szCs w:val="18"/>
      </w:rPr>
      <w:t xml:space="preserve"> – Page de garde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2F53A8" w14:textId="77777777" w:rsidR="008069E1" w:rsidRDefault="008069E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2FF30" w14:textId="77777777" w:rsidR="00F10D6B" w:rsidRDefault="00F10D6B" w:rsidP="009D0324">
      <w:pPr>
        <w:spacing w:after="0" w:line="240" w:lineRule="auto"/>
      </w:pPr>
      <w:r>
        <w:separator/>
      </w:r>
    </w:p>
  </w:footnote>
  <w:footnote w:type="continuationSeparator" w:id="0">
    <w:p w14:paraId="00C3663A" w14:textId="77777777" w:rsidR="00F10D6B" w:rsidRDefault="00F10D6B" w:rsidP="009D03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D2031" w14:textId="77777777" w:rsidR="008069E1" w:rsidRDefault="008069E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D96A6" w14:textId="77777777" w:rsidR="00FC49F0" w:rsidRPr="00AB67BE" w:rsidRDefault="00B42D62" w:rsidP="00FC49F0">
    <w:pPr>
      <w:pStyle w:val="En-tte"/>
      <w:jc w:val="right"/>
      <w:rPr>
        <w:rFonts w:ascii="Marianne" w:hAnsi="Marianne" w:cstheme="minorHAnsi"/>
        <w:sz w:val="18"/>
      </w:rPr>
    </w:pPr>
    <w:r w:rsidRPr="00AB67BE">
      <w:rPr>
        <w:rFonts w:ascii="Marianne" w:hAnsi="Marianne" w:cstheme="minorHAnsi"/>
        <w:noProof/>
        <w:sz w:val="18"/>
        <w:lang w:eastAsia="fr-FR"/>
      </w:rPr>
      <w:drawing>
        <wp:anchor distT="0" distB="0" distL="114300" distR="114300" simplePos="0" relativeHeight="251658240" behindDoc="0" locked="0" layoutInCell="1" allowOverlap="1" wp14:anchorId="58F4364E" wp14:editId="2BD42D46">
          <wp:simplePos x="0" y="0"/>
          <wp:positionH relativeFrom="margin">
            <wp:posOffset>128905</wp:posOffset>
          </wp:positionH>
          <wp:positionV relativeFrom="paragraph">
            <wp:posOffset>22860</wp:posOffset>
          </wp:positionV>
          <wp:extent cx="1865630" cy="494030"/>
          <wp:effectExtent l="0" t="0" r="1270" b="1270"/>
          <wp:wrapNone/>
          <wp:docPr id="1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65630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FC49F0" w:rsidRPr="00AB67BE">
      <w:rPr>
        <w:rFonts w:ascii="Marianne" w:hAnsi="Marianne" w:cstheme="minorHAnsi"/>
        <w:sz w:val="18"/>
      </w:rPr>
      <w:t xml:space="preserve">Direction </w:t>
    </w:r>
    <w:r w:rsidR="001E4ED8" w:rsidRPr="00AB67BE">
      <w:rPr>
        <w:rFonts w:ascii="Marianne" w:hAnsi="Marianne" w:cstheme="minorHAnsi"/>
        <w:sz w:val="18"/>
      </w:rPr>
      <w:t>de la Commande Publique</w:t>
    </w:r>
  </w:p>
  <w:p w14:paraId="5D892A5B" w14:textId="77777777" w:rsidR="00FC49F0" w:rsidRPr="00AB67BE" w:rsidRDefault="00FC49F0" w:rsidP="00FC49F0">
    <w:pPr>
      <w:pStyle w:val="En-tte"/>
      <w:jc w:val="right"/>
      <w:rPr>
        <w:rFonts w:ascii="Marianne" w:hAnsi="Marianne" w:cstheme="minorHAnsi"/>
        <w:sz w:val="18"/>
      </w:rPr>
    </w:pPr>
    <w:r w:rsidRPr="00AB67BE">
      <w:rPr>
        <w:rFonts w:ascii="Marianne" w:hAnsi="Marianne" w:cstheme="minorHAnsi"/>
        <w:sz w:val="18"/>
      </w:rPr>
      <w:t>Rue du Barreau – BP 60149</w:t>
    </w:r>
  </w:p>
  <w:p w14:paraId="722ACCE8" w14:textId="77777777" w:rsidR="00FC49F0" w:rsidRPr="00AB67BE" w:rsidRDefault="00FC49F0" w:rsidP="00FC49F0">
    <w:pPr>
      <w:pStyle w:val="En-tte"/>
      <w:jc w:val="right"/>
      <w:rPr>
        <w:rFonts w:ascii="Marianne" w:hAnsi="Marianne" w:cstheme="minorHAnsi"/>
        <w:sz w:val="18"/>
      </w:rPr>
    </w:pPr>
    <w:r w:rsidRPr="00AB67BE">
      <w:rPr>
        <w:rFonts w:ascii="Marianne" w:hAnsi="Marianne" w:cstheme="minorHAnsi"/>
        <w:sz w:val="18"/>
      </w:rPr>
      <w:t>59653 VILLENEUVE D’ASCQ Cedex</w:t>
    </w:r>
  </w:p>
  <w:p w14:paraId="6F03D70A" w14:textId="77777777" w:rsidR="00FC49F0" w:rsidRPr="00AB67BE" w:rsidRDefault="000D5313" w:rsidP="00FC49F0">
    <w:pPr>
      <w:pStyle w:val="En-tte"/>
      <w:jc w:val="right"/>
      <w:rPr>
        <w:rFonts w:ascii="Marianne" w:hAnsi="Marianne" w:cstheme="minorHAnsi"/>
        <w:sz w:val="18"/>
      </w:rPr>
    </w:pPr>
    <w:hyperlink r:id="rId2" w:history="1">
      <w:r w:rsidR="008069E1" w:rsidRPr="00EF228F">
        <w:rPr>
          <w:rStyle w:val="Lienhypertexte"/>
          <w:rFonts w:ascii="Marianne" w:hAnsi="Marianne" w:cstheme="minorHAnsi"/>
          <w:sz w:val="18"/>
        </w:rPr>
        <w:t>dcp-recherche@univ-lille.fr</w:t>
      </w:r>
    </w:hyperlink>
    <w:r w:rsidR="008069E1">
      <w:rPr>
        <w:rFonts w:ascii="Marianne" w:hAnsi="Marianne" w:cstheme="minorHAnsi"/>
        <w:sz w:val="18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0EE55" w14:textId="77777777" w:rsidR="008069E1" w:rsidRDefault="008069E1">
    <w:pPr>
      <w:pStyle w:val="En-tt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4746"/>
    <w:rsid w:val="00020D7E"/>
    <w:rsid w:val="0002463A"/>
    <w:rsid w:val="00042C65"/>
    <w:rsid w:val="000431DE"/>
    <w:rsid w:val="000941A5"/>
    <w:rsid w:val="000B6BA0"/>
    <w:rsid w:val="000D5313"/>
    <w:rsid w:val="000E5D6B"/>
    <w:rsid w:val="00101E8B"/>
    <w:rsid w:val="0016261D"/>
    <w:rsid w:val="001A2C73"/>
    <w:rsid w:val="001E4ED8"/>
    <w:rsid w:val="00207CEF"/>
    <w:rsid w:val="002D2246"/>
    <w:rsid w:val="003A7A66"/>
    <w:rsid w:val="003B70F9"/>
    <w:rsid w:val="003C0ABB"/>
    <w:rsid w:val="004058D8"/>
    <w:rsid w:val="0044156F"/>
    <w:rsid w:val="004614BD"/>
    <w:rsid w:val="004C7069"/>
    <w:rsid w:val="004D5AA1"/>
    <w:rsid w:val="004D6567"/>
    <w:rsid w:val="0051219D"/>
    <w:rsid w:val="0051369E"/>
    <w:rsid w:val="0051414A"/>
    <w:rsid w:val="00520177"/>
    <w:rsid w:val="00557384"/>
    <w:rsid w:val="005600DE"/>
    <w:rsid w:val="00575015"/>
    <w:rsid w:val="00576B9A"/>
    <w:rsid w:val="00661945"/>
    <w:rsid w:val="00692E7C"/>
    <w:rsid w:val="00694746"/>
    <w:rsid w:val="006C6108"/>
    <w:rsid w:val="00732AB0"/>
    <w:rsid w:val="00741E7E"/>
    <w:rsid w:val="00787AC8"/>
    <w:rsid w:val="007A713D"/>
    <w:rsid w:val="007F3CB1"/>
    <w:rsid w:val="008069E1"/>
    <w:rsid w:val="008161FE"/>
    <w:rsid w:val="00867063"/>
    <w:rsid w:val="00881E2E"/>
    <w:rsid w:val="00964B07"/>
    <w:rsid w:val="009659A8"/>
    <w:rsid w:val="00974DCA"/>
    <w:rsid w:val="009D0324"/>
    <w:rsid w:val="009E294E"/>
    <w:rsid w:val="00A057A8"/>
    <w:rsid w:val="00A8688F"/>
    <w:rsid w:val="00AB67BE"/>
    <w:rsid w:val="00AF0F10"/>
    <w:rsid w:val="00B11E0C"/>
    <w:rsid w:val="00B42D62"/>
    <w:rsid w:val="00B7245B"/>
    <w:rsid w:val="00B84DDC"/>
    <w:rsid w:val="00C35436"/>
    <w:rsid w:val="00C42E15"/>
    <w:rsid w:val="00C47A3D"/>
    <w:rsid w:val="00C53664"/>
    <w:rsid w:val="00C60076"/>
    <w:rsid w:val="00CA3308"/>
    <w:rsid w:val="00D03AFF"/>
    <w:rsid w:val="00E01963"/>
    <w:rsid w:val="00F10D6B"/>
    <w:rsid w:val="00F34EFD"/>
    <w:rsid w:val="00F47001"/>
    <w:rsid w:val="00F552BD"/>
    <w:rsid w:val="00FC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065871C6"/>
  <w15:chartTrackingRefBased/>
  <w15:docId w15:val="{3D475944-8575-4EFD-89A8-34B7E75011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6947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F34EFD"/>
    <w:rPr>
      <w:color w:val="0563C1" w:themeColor="hyperlink"/>
      <w:u w:val="single"/>
    </w:rPr>
  </w:style>
  <w:style w:type="paragraph" w:styleId="En-tte">
    <w:name w:val="header"/>
    <w:basedOn w:val="Normal"/>
    <w:link w:val="En-tteCar"/>
    <w:uiPriority w:val="99"/>
    <w:unhideWhenUsed/>
    <w:rsid w:val="009D0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D0324"/>
  </w:style>
  <w:style w:type="paragraph" w:styleId="Pieddepage">
    <w:name w:val="footer"/>
    <w:basedOn w:val="Normal"/>
    <w:link w:val="PieddepageCar"/>
    <w:uiPriority w:val="99"/>
    <w:unhideWhenUsed/>
    <w:rsid w:val="009D03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D0324"/>
  </w:style>
  <w:style w:type="paragraph" w:styleId="Sansinterligne">
    <w:name w:val="No Spacing"/>
    <w:uiPriority w:val="1"/>
    <w:qFormat/>
    <w:rsid w:val="00FC49F0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4C70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C706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148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mailto:dcp-recherche@univ-lille.fr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1</Pages>
  <Words>115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Université Lille 3</Company>
  <LinksUpToDate>false</LinksUpToDate>
  <CharactersWithSpaces>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nicodeme</dc:creator>
  <cp:keywords/>
  <dc:description/>
  <cp:lastModifiedBy>Amelie Meresse</cp:lastModifiedBy>
  <cp:revision>59</cp:revision>
  <cp:lastPrinted>2018-09-20T12:15:00Z</cp:lastPrinted>
  <dcterms:created xsi:type="dcterms:W3CDTF">2018-01-10T12:38:00Z</dcterms:created>
  <dcterms:modified xsi:type="dcterms:W3CDTF">2026-07-09T12:54:00Z</dcterms:modified>
</cp:coreProperties>
</file>